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sectPr w:rsidR="007A7E45" w:rsidRPr="00FE4B89" w:rsidSect="00F91724">
      <w:headerReference w:type="default" r:id="rId7"/>
      <w:footerReference w:type="default" r:id="rId8"/>
      <w:type w:val="continuous"/>
      <w:pgSz w:w="11906" w:h="16838"/>
      <w:pgMar w:top="851" w:right="851" w:bottom="851" w:left="851" w:header="709" w:footer="709" w:gutter="0"/>
      <w:cols w:space="708"/>
      <w:docGrid w:linePitch="360"/>
    </w:sectPr>
    <w:p>
      <w:pPr>
        <w:jc w:val="left"/>
        <w:pStyle w:val="Heading4"/>
      </w:pPr>
      <w:r>
        <w:rPr>
          <w:rFonts w:hAnsi="Times New Roman" w:cs="Times New Roman"/>
        </w:rPr>
        <w:t xml:space="preserve">A935001 ADMINISTRACIJA I UPRAVLJANJE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vatrogastvu, čl. 10, Uredba o osnivanju Državne vatrogasne škole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A935001-ADMINISTRACIJA I UPRAVLJANJE</w:t>
            </w:r>
          </w:p>
        </w:tc>
        <w:tc>
          <w:tcPr>
            <w:tcW w:w="1632.96" w:type="dxa"/>
            <w:vAlign w:val="center"/>
          </w:tcPr>
          <w:p>
            <w:pPr>
              <w:jc w:val="both"/>
              <w:pStyle w:val="CellColumn"/>
            </w:pPr>
            <w:r>
              <w:rPr>
                <w:rFonts w:hAnsi="Times New Roman" w:cs="Times New Roman"/>
              </w:rPr>
              <w:t xml:space="preserve">1.123.136</w:t>
            </w:r>
          </w:p>
        </w:tc>
        <w:tc>
          <w:tcPr>
            <w:tcW w:w="1632.96" w:type="dxa"/>
            <w:vAlign w:val="center"/>
          </w:tcPr>
          <w:p>
            <w:pPr>
              <w:jc w:val="both"/>
              <w:pStyle w:val="CellColumn"/>
            </w:pPr>
            <w:r>
              <w:rPr>
                <w:rFonts w:hAnsi="Times New Roman" w:cs="Times New Roman"/>
              </w:rPr>
              <w:t xml:space="preserve">1.748.054</w:t>
            </w:r>
          </w:p>
        </w:tc>
        <w:tc>
          <w:tcPr>
            <w:tcW w:w="1632.96" w:type="dxa"/>
            <w:vAlign w:val="center"/>
          </w:tcPr>
          <w:p>
            <w:pPr>
              <w:jc w:val="both"/>
              <w:pStyle w:val="CellColumn"/>
            </w:pPr>
            <w:r>
              <w:rPr>
                <w:rFonts w:hAnsi="Times New Roman" w:cs="Times New Roman"/>
              </w:rPr>
              <w:t xml:space="preserve">2.244.978</w:t>
            </w:r>
          </w:p>
        </w:tc>
        <w:tc>
          <w:tcPr>
            <w:tcW w:w="1632.96" w:type="dxa"/>
            <w:vAlign w:val="center"/>
          </w:tcPr>
          <w:p>
            <w:pPr>
              <w:jc w:val="both"/>
              <w:pStyle w:val="CellColumn"/>
            </w:pPr>
            <w:r>
              <w:rPr>
                <w:rFonts w:hAnsi="Times New Roman" w:cs="Times New Roman"/>
              </w:rPr>
              <w:t xml:space="preserve">1.767.150</w:t>
            </w:r>
          </w:p>
        </w:tc>
        <w:tc>
          <w:tcPr>
            <w:tcW w:w="1632.96" w:type="dxa"/>
            <w:vAlign w:val="center"/>
          </w:tcPr>
          <w:p>
            <w:pPr>
              <w:jc w:val="both"/>
              <w:pStyle w:val="CellColumn"/>
            </w:pPr>
            <w:r>
              <w:rPr>
                <w:rFonts w:hAnsi="Times New Roman" w:cs="Times New Roman"/>
              </w:rPr>
              <w:t xml:space="preserve">1.866.470</w:t>
            </w:r>
          </w:p>
        </w:tc>
        <w:tc>
          <w:tcPr>
            <w:tcW w:w="510.3" w:type="dxa"/>
            <w:vAlign w:val="center"/>
          </w:tcPr>
          <w:p>
            <w:pPr>
              <w:jc w:val="both"/>
              <w:pStyle w:val="CellColumn"/>
            </w:pPr>
            <w:r>
              <w:rPr>
                <w:rFonts w:hAnsi="Times New Roman" w:cs="Times New Roman"/>
              </w:rPr>
              <w:t xml:space="preserve">128,4</w:t>
            </w:r>
          </w:p>
        </w:tc>
      </w:tr>
    </w:tbl>
    <w:p>
      <w:pPr>
        <w:jc w:val="left"/>
      </w:pPr>
      <w:r>
        <w:rPr>
          <w:rFonts w:hAnsi="Times New Roman" w:cs="Times New Roman"/>
        </w:rPr>
        <w:t xml:space="preserve"/>
      </w:r>
    </w:p>
    <w:p>
      <w:pPr>
        <w:jc w:val="both"/>
        <w:pStyle w:val="Normal"/>
      </w:pPr>
      <w:r>
        <w:rPr>
          <w:rFonts w:hAnsi="Times New Roman" w:cs="Times New Roman"/>
        </w:rPr>
        <w:t xml:space="preserve">Aktivnost administracija i upravljanje kao trenutno jedina  putem koje se odvijaju sve aktivnosti Državne vatrogasne škole koja je započela s radom početkom 2022. godine.
</w:t>
      </w:r>
    </w:p>
    <w:p>
      <w:pPr>
        <w:jc w:val="both"/>
        <w:pStyle w:val="Normal"/>
      </w:pPr>
      <w:r>
        <w:rPr>
          <w:rFonts w:hAnsi="Times New Roman" w:cs="Times New Roman"/>
        </w:rPr>
        <w:t xml:space="preserve">
</w:t>
      </w:r>
    </w:p>
    <w:p>
      <w:pPr>
        <w:jc w:val="both"/>
        <w:pStyle w:val="Normal"/>
      </w:pPr>
      <w:r>
        <w:rPr>
          <w:rFonts w:hAnsi="Times New Roman" w:cs="Times New Roman"/>
        </w:rPr>
        <w:t xml:space="preserve">Financijska sredstva za rashode za zaposlene planirana su u visini 941.850,00 EUR za 2026. godinu  te predstavljaju 41% ukupne vrijednosti aktivnosti. Izuzev rashoda za plaće, najveći dio rashoda odnosi se na materijalne rashode budući da se aktivnosti planiraju odvijati putem 4 odjela na lokacijama Zagreb, Rijeka, Split i Osijek. Tako su materijalni rashodi za 2026. godinu planirani u visini od 746.432,00 EUR tj. 33% ukupnih sredstava aktivnosti, a od čega se iz općih prihoda (izvor 11) planira 211.300,00 EUR odnosno iz vlastitih prihoda (izvor 31) 74.550,00 EUR , iz prihoda za posebne namjene (izvor 43) 431.828,00 EUR, te pomoći (izvor 5031) 28.754,00 eura,  a slično je i u projekcijama za 2027. i 2028. godinu. Kapitalni izdaci se planiraju za 2026. godinu u iznosu od 585.300,00 EUR, a 85% istih rashoda se planira podmiriti iz vlastitih prihoda (ispitivanje tehnike, smještaj za polaznike, ekonomat) te prihoda za posebne namijene (školarine) dok ostatak planiramo iz općih prihoda (Izvor 11). Najveći dio kapitalnih izdataka predviđa se za kupnju novog kombi vozila kao i vatrogasnog vozila, te  vatrogasne opreme kako bi kamion bio funkcionalan. U 2027. i 2028. godini kapitalni rashodi su planirani u iznosu od 14.650,00 EUR odnosno 98.000,00 EUR..</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polaznika Državne vatrogasne škole – formalno obrazovanje</w:t>
            </w:r>
          </w:p>
        </w:tc>
        <w:tc>
          <w:tcPr>
            <w:tcW w:w="2245.32" w:type="dxa"/>
            <w:vAlign w:val="center"/>
          </w:tcPr>
          <w:p>
            <w:pPr>
              <w:jc w:val="both"/>
              <w:pStyle w:val="CellColumn"/>
            </w:pPr>
            <w:r>
              <w:rPr>
                <w:rFonts w:hAnsi="Times New Roman" w:cs="Times New Roman"/>
              </w:rPr>
              <w:t xml:space="preserve">Broj polaznika Državne vatrogasne škole koju su završili nastavu za smjerove vatrogasac i vatrogasnih tehničar, uključujući sjedište u Zagrebu i 3 odjela - Osijek, Rijeka i Split</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265</w:t>
            </w:r>
          </w:p>
        </w:tc>
        <w:tc>
          <w:tcPr>
            <w:tcW w:w="918.54" w:type="dxa"/>
            <w:vAlign w:val="center"/>
          </w:tcPr>
          <w:p>
            <w:pPr>
              <w:jc w:val="both"/>
              <w:pStyle w:val="CellColumn"/>
            </w:pPr>
            <w:r>
              <w:rPr>
                <w:rFonts w:hAnsi="Times New Roman" w:cs="Times New Roman"/>
              </w:rPr>
              <w:t xml:space="preserve">Matična knjiga DVŠ za formalno obrazovanje</w:t>
            </w:r>
          </w:p>
        </w:tc>
        <w:tc>
          <w:tcPr>
            <w:tcW w:w="918.54" w:type="dxa"/>
            <w:vAlign w:val="center"/>
          </w:tcPr>
          <w:p>
            <w:pPr>
              <w:jc w:val="both"/>
              <w:pStyle w:val="CellColumn"/>
            </w:pPr>
            <w:r>
              <w:rPr>
                <w:rFonts w:hAnsi="Times New Roman" w:cs="Times New Roman"/>
              </w:rPr>
              <w:t xml:space="preserve">300</w:t>
            </w:r>
          </w:p>
        </w:tc>
        <w:tc>
          <w:tcPr>
            <w:tcW w:w="918.54" w:type="dxa"/>
            <w:vAlign w:val="center"/>
          </w:tcPr>
          <w:p>
            <w:pPr>
              <w:jc w:val="both"/>
              <w:pStyle w:val="CellColumn"/>
            </w:pPr>
            <w:r>
              <w:rPr>
                <w:rFonts w:hAnsi="Times New Roman" w:cs="Times New Roman"/>
              </w:rPr>
              <w:t xml:space="preserve">250</w:t>
            </w:r>
          </w:p>
        </w:tc>
        <w:tc>
          <w:tcPr>
            <w:tcW w:w="918.54" w:type="dxa"/>
            <w:vAlign w:val="center"/>
          </w:tcPr>
          <w:p>
            <w:pPr>
              <w:jc w:val="both"/>
              <w:pStyle w:val="CellColumn"/>
            </w:pPr>
            <w:r>
              <w:rPr>
                <w:rFonts w:hAnsi="Times New Roman" w:cs="Times New Roman"/>
              </w:rPr>
              <w:t xml:space="preserve">250</w:t>
            </w:r>
          </w:p>
        </w:tc>
      </w:tr>
      <w:tr>
        <w:trPr>
          <w:cantSplit/>
        </w:trPr>
        <w:tc>
          <w:tcPr>
            <w:tcW w:w="2245.32" w:type="dxa"/>
            <w:vAlign w:val="center"/>
          </w:tcPr>
          <w:p>
            <w:pPr>
              <w:jc w:val="left"/>
            </w:pPr>
            <w:r>
              <w:rPr>
                <w:rFonts w:hAnsi="Times New Roman" w:cs="Times New Roman"/>
              </w:rPr>
              <w:t xml:space="preserve"/>
            </w:r>
          </w:p>
        </w:tc>
        <w:tc>
          <w:tcPr>
            <w:tcW w:w="2245.32" w:type="dxa"/>
            <w:vAlign w:val="center"/>
          </w:tcPr>
          <w:p>
            <w:pPr>
              <w:jc w:val="left"/>
            </w:pPr>
            <w:r>
              <w:rPr>
                <w:rFonts w:hAnsi="Times New Roman" w:cs="Times New Roman"/>
              </w:rPr>
              <w:t xml:space="preserve"/>
            </w:r>
          </w:p>
        </w:tc>
        <w:tc>
          <w:tcPr>
            <w:tcW w:w="918.54" w:type="dxa"/>
            <w:vAlign w:val="center"/>
          </w:tcPr>
          <w:p>
            <w:pPr>
              <w:jc w:val="left"/>
            </w:pPr>
            <w:r>
              <w:rPr>
                <w:rFonts w:hAnsi="Times New Roman" w:cs="Times New Roman"/>
              </w:rPr>
              <w:t xml:space="preserve"/>
            </w:r>
          </w:p>
        </w:tc>
        <w:tc>
          <w:tcPr>
            <w:tcW w:w="918.54" w:type="dxa"/>
            <w:vAlign w:val="center"/>
          </w:tcPr>
          <w:p>
            <w:pPr>
              <w:jc w:val="left"/>
            </w:pPr>
            <w:r>
              <w:rPr>
                <w:rFonts w:hAnsi="Times New Roman" w:cs="Times New Roman"/>
              </w:rPr>
              <w:t xml:space="preserve"/>
            </w:r>
          </w:p>
        </w:tc>
        <w:tc>
          <w:tcPr>
            <w:tcW w:w="918.54" w:type="dxa"/>
            <w:vAlign w:val="center"/>
          </w:tcPr>
          <w:p>
            <w:pPr>
              <w:jc w:val="left"/>
            </w:pPr>
            <w:r>
              <w:rPr>
                <w:rFonts w:hAnsi="Times New Roman" w:cs="Times New Roman"/>
              </w:rPr>
              <w:t xml:space="preserve"/>
            </w:r>
          </w:p>
        </w:tc>
        <w:tc>
          <w:tcPr>
            <w:tcW w:w="918.54" w:type="dxa"/>
            <w:vAlign w:val="center"/>
          </w:tcPr>
          <w:p>
            <w:pPr>
              <w:jc w:val="left"/>
            </w:pPr>
            <w:r>
              <w:rPr>
                <w:rFonts w:hAnsi="Times New Roman" w:cs="Times New Roman"/>
              </w:rPr>
              <w:t xml:space="preserve"/>
            </w:r>
          </w:p>
        </w:tc>
        <w:tc>
          <w:tcPr>
            <w:tcW w:w="918.54" w:type="dxa"/>
            <w:vAlign w:val="center"/>
          </w:tcPr>
          <w:p>
            <w:pPr>
              <w:jc w:val="left"/>
            </w:pPr>
            <w:r>
              <w:rPr>
                <w:rFonts w:hAnsi="Times New Roman" w:cs="Times New Roman"/>
              </w:rPr>
              <w:t xml:space="preserve"/>
            </w:r>
          </w:p>
        </w:tc>
        <w:tc>
          <w:tcPr>
            <w:tcW w:w="918.54" w:type="dxa"/>
            <w:vAlign w:val="center"/>
          </w:tcPr>
          <w:p>
            <w:pPr>
              <w:jc w:val="left"/>
            </w:pPr>
            <w:r>
              <w:rPr>
                <w:rFonts w:hAnsi="Times New Roman" w:cs="Times New Roman"/>
              </w:rPr>
              <w:t xml:space="preserve"/>
            </w:r>
          </w:p>
        </w:tc>
      </w:tr>
    </w:tbl>
    <w:p>
      <w:pPr>
        <w:jc w:val="left"/>
      </w:pPr>
      <w:r>
        <w:rPr>
          <w:rFonts w:hAnsi="Times New Roman" w:cs="Times New Roman"/>
        </w:rPr>
        <w:t xml:space="preserve"/>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FE4B89"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FE4B89"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Anita Marasović</cp:lastModifiedBy>
  <cp:revision>14</cp:revision>
  <dcterms:created xsi:type="dcterms:W3CDTF">2016-10-28T08:23:00Z</dcterms:created>
  <dcterms:modified xsi:type="dcterms:W3CDTF">2016-11-09T08:08:00Z</dcterms:modified>
</cp:coreProperties>
</file>