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sectPr w:rsidR="007A7E45" w:rsidRPr="00FE4B89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  <w:p>
      <w:pPr>
        <w:jc w:val="left"/>
        <w:pStyle w:val="Heading2"/>
      </w:pPr>
      <w:r>
        <w:rPr>
          <w:rFonts w:hAnsi="Times New Roman" w:cs="Times New Roman"/>
        </w:rPr>
        <w:t xml:space="preserve">03910 Državna vatrogasna škola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Člankom 10. Zakona o vatrogastvu predviđeno je osnivanje Državne vatrogasne škole kao središnje institucije koja objedinjuje obrazovne, stručne i logističke funkcije unutar sustava vatrogastva. Njezina osnovna uloga je osigurati školovanje, osposobljavanje i kontinuirano usavršavanje vatrogasnog kadra, čime se podiže razina stručnosti i spremnosti sustava. Uz obrazovnu djelatnost, unutar škole djeluje i centar zadužen za normizaciju i ispitivanje vatrogasne tehnike i opreme, čime se osigurava njihova kvaliteta i usklađenost sa standardima. Također, kroz organizaciju ekonomata omogućuje se dostupnost stručne literature za potrebe  vatrogastva. Osnivanjem ove ustanove uspostavlja se jedinstven i sustavan pristup planiranju i organizaciji rada, stvaraju se standardi zanimanja i kvalifikacija te se razvijaju kurikulumi prilagođeni potrebama tržišta rada. Poseban značaj ima za dobrovoljno vatrogastvo, kojem se na ovaj način osigurava ujednačeno osposobljavanje i objektivno vrednovanje stečenih znanja i vještina, čime se dodatno jača cijeli sustav kao djelatnost od posebnog interesa za Republiku Hrvatsku.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632.96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2041.2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2041.2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2041.2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Izvršenje 2025. (eur)</w:t>
            </w:r>
          </w:p>
        </w:tc>
        <w:tc>
          <w:tcPr>
            <w:tcW w:w="1224.72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Indeks izvršenje 2025./plan 2025.</w:t>
            </w:r>
          </w:p>
        </w:tc>
        <w:tc>
          <w:tcPr>
            <w:tcW w:w="1224.72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Indeks izvršenje 2025./2024.</w:t>
            </w:r>
          </w:p>
        </w:tc>
      </w:tr>
      <w:tr>
        <w:trPr>
          <w:cantSplit/>
        </w:trPr>
        <w:tc>
          <w:tcPr>
            <w:tcW w:w="1632.96" w:type="dxa"/>
            <w:vAlign w:val="top"/>
          </w:tcPr>
          <w:p>
            <w:pPr>
              <w:jc w:val="left"/>
              <w:pStyle w:val="CellColumn"/>
            </w:pPr>
            <w:r>
              <w:rPr>
                <w:rFonts w:hAnsi="Times New Roman" w:cs="Times New Roman"/>
              </w:rPr>
              <w:t xml:space="preserve">03910-Državna vatrogasna škola</w:t>
            </w:r>
          </w:p>
        </w:tc>
        <w:tc>
          <w:tcPr>
            <w:tcW w:w="2041.2" w:type="dxa"/>
            <w:vAlign w:val="top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1.123.136</w:t>
            </w:r>
          </w:p>
        </w:tc>
        <w:tc>
          <w:tcPr>
            <w:tcW w:w="2041.2" w:type="dxa"/>
            <w:vAlign w:val="top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1.706.054</w:t>
            </w:r>
          </w:p>
        </w:tc>
        <w:tc>
          <w:tcPr>
            <w:tcW w:w="2041.2" w:type="dxa"/>
            <w:vAlign w:val="top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1.375.879</w:t>
            </w:r>
          </w:p>
        </w:tc>
        <w:tc>
          <w:tcPr>
            <w:tcW w:w="1224.72" w:type="dxa"/>
            <w:vAlign w:val="top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80,6</w:t>
            </w:r>
          </w:p>
        </w:tc>
        <w:tc>
          <w:tcPr>
            <w:tcW w:w="1224.72" w:type="dxa"/>
            <w:vAlign w:val="top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122,5</w:t>
            </w:r>
          </w:p>
        </w:tc>
      </w:tr>
      <w:tr>
        <w:trPr>
          <w:cantSplit/>
        </w:trPr>
        <w:tc>
          <w:tcPr>
            <w:tcW w:w="1632.96" w:type="dxa"/>
            <w:vAlign w:val="center"/>
          </w:tcPr>
          <w:p>
            <w:pPr>
              <w:jc w:val="left"/>
              <w:pStyle w:val="CellColumnSmall"/>
            </w:pPr>
            <w:r>
              <w:rPr>
                <w:rFonts w:hAnsi="Times New Roman" w:cs="Times New Roman"/>
              </w:rPr>
              <w:t xml:space="preserve">2607-ORGANIZIRANJE I PROVOĐENJE VATROGASNE DJELATNOSTI</w:t>
            </w:r>
          </w:p>
        </w:tc>
        <w:tc>
          <w:tcPr>
            <w:tcW w:w="2041.2" w:type="dxa"/>
            <w:vAlign w:val="center"/>
          </w:tcPr>
          <w:p>
            <w:pPr>
              <w:jc w:val="right"/>
              <w:pStyle w:val="CellColumnSmall"/>
            </w:pPr>
            <w:r>
              <w:rPr>
                <w:rFonts w:hAnsi="Times New Roman" w:cs="Times New Roman"/>
              </w:rPr>
              <w:t xml:space="preserve">1.123.136</w:t>
            </w:r>
          </w:p>
        </w:tc>
        <w:tc>
          <w:tcPr>
            <w:tcW w:w="2041.2" w:type="dxa"/>
            <w:vAlign w:val="center"/>
          </w:tcPr>
          <w:p>
            <w:pPr>
              <w:jc w:val="right"/>
              <w:pStyle w:val="CellColumnSmall"/>
            </w:pPr>
            <w:r>
              <w:rPr>
                <w:rFonts w:hAnsi="Times New Roman" w:cs="Times New Roman"/>
              </w:rPr>
              <w:t xml:space="preserve">1.706.054</w:t>
            </w:r>
          </w:p>
        </w:tc>
        <w:tc>
          <w:tcPr>
            <w:tcW w:w="2041.2" w:type="dxa"/>
            <w:vAlign w:val="center"/>
          </w:tcPr>
          <w:p>
            <w:pPr>
              <w:jc w:val="right"/>
              <w:pStyle w:val="CellColumnSmall"/>
            </w:pPr>
            <w:r>
              <w:rPr>
                <w:rFonts w:hAnsi="Times New Roman" w:cs="Times New Roman"/>
              </w:rPr>
              <w:t xml:space="preserve">1.375.879</w:t>
            </w:r>
          </w:p>
        </w:tc>
        <w:tc>
          <w:tcPr>
            <w:tcW w:w="1224.72" w:type="dxa"/>
            <w:vAlign w:val="center"/>
          </w:tcPr>
          <w:p>
            <w:pPr>
              <w:jc w:val="right"/>
              <w:pStyle w:val="CellColumnSmall"/>
            </w:pPr>
            <w:r>
              <w:rPr>
                <w:rFonts w:hAnsi="Times New Roman" w:cs="Times New Roman"/>
              </w:rPr>
              <w:t xml:space="preserve">80,6</w:t>
            </w:r>
          </w:p>
        </w:tc>
        <w:tc>
          <w:tcPr>
            <w:tcW w:w="1224.72" w:type="dxa"/>
            <w:vAlign w:val="center"/>
          </w:tcPr>
          <w:p>
            <w:pPr>
              <w:jc w:val="right"/>
              <w:pStyle w:val="CellColumnSmall"/>
            </w:pPr>
            <w:r>
              <w:rPr>
                <w:rFonts w:hAnsi="Times New Roman" w:cs="Times New Roman"/>
              </w:rPr>
              <w:t xml:space="preserve">122,5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left"/>
        <w:pStyle w:val="Heading3"/>
      </w:pPr>
      <w:r>
        <w:rPr>
          <w:rFonts w:hAnsi="Times New Roman" w:cs="Times New Roman"/>
        </w:rPr>
        <w:t xml:space="preserve">2607 ORGANIZIRANJE I PROVOĐENJE VATROGASNE DJELATNOSTI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632.96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2041.2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2041.2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2041.2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Izvršenje 2025. (eur)</w:t>
            </w:r>
          </w:p>
        </w:tc>
        <w:tc>
          <w:tcPr>
            <w:tcW w:w="1224.72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Indeks izvršenje 2025./plan 2025.</w:t>
            </w:r>
          </w:p>
        </w:tc>
        <w:tc>
          <w:tcPr>
            <w:tcW w:w="1224.72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Index izvršenje 2025./2024.</w:t>
            </w:r>
          </w:p>
        </w:tc>
      </w:tr>
      <w:tr>
        <w:trPr>
          <w:cantSplit/>
        </w:trPr>
        <w:tc>
          <w:tcPr>
            <w:tcW w:w="1632.96" w:type="dxa"/>
            <w:vAlign w:val="center"/>
          </w:tcPr>
          <w:p>
            <w:pPr>
              <w:jc w:val="left"/>
              <w:pStyle w:val="CellColumn"/>
            </w:pPr>
            <w:r>
              <w:rPr>
                <w:rFonts w:hAnsi="Times New Roman" w:cs="Times New Roman"/>
              </w:rPr>
              <w:t xml:space="preserve">2607-ORGANIZIRANJE I PROVOĐENJE VATROGASNE DJELATNOSTI</w:t>
            </w:r>
          </w:p>
        </w:tc>
        <w:tc>
          <w:tcPr>
            <w:tcW w:w="2041.2" w:type="dxa"/>
            <w:vAlign w:val="center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1.123.136</w:t>
            </w:r>
          </w:p>
        </w:tc>
        <w:tc>
          <w:tcPr>
            <w:tcW w:w="2041.2" w:type="dxa"/>
            <w:vAlign w:val="center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1.706.054</w:t>
            </w:r>
          </w:p>
        </w:tc>
        <w:tc>
          <w:tcPr>
            <w:tcW w:w="2041.2" w:type="dxa"/>
            <w:vAlign w:val="center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1.375.879</w:t>
            </w:r>
          </w:p>
        </w:tc>
        <w:tc>
          <w:tcPr>
            <w:tcW w:w="1224.72" w:type="dxa"/>
            <w:vAlign w:val="center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80,6</w:t>
            </w:r>
          </w:p>
        </w:tc>
        <w:tc>
          <w:tcPr>
            <w:tcW w:w="1224.72" w:type="dxa"/>
            <w:vAlign w:val="center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122,5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both"/>
        <w:pStyle w:val="Normal"/>
      </w:pPr>
      <w:r>
        <w:rPr>
          <w:rFonts w:hAnsi="Times New Roman" w:cs="Times New Roman"/>
        </w:rPr>
        <w:t xml:space="preserve">Državna vatrogasna škola je proračunski korisnik, te ključna obrazovna ustanova u Republici Hrvatskoj u nadležnosti Hrvatske vatrogasne zajednice, koja se bavi školovanjem i osposobljavanjem vatrogasnog kadra. Njezina osnovna uloga je priprema profesionalnih i dobrovoljnih vatrogasaca za učinkovito djelovanje u raznim izvanrednim situacijama, poput požara, prometnih nesreća, tehničkih intervencija i prirodnih katastrofa.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Škola provodi različite programe obrazovanja i stručnog usavršavanja. To uključuje temeljnu obuku za nove vatrogasce, ali i specijalizirane tečajeve za iskusnije pripadnike vatrogasnih postrojbi. Polaznici uče o gašenju požara, spašavanju ljudi i imovine, rukovanju vatrogasnom opremom, kao i o sigurnosnim procedurama i taktici intervencija.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Državna vatrogasna škola  sredstva za financiranje djelatnosti osigurava u državnom proračunu, iz školarina, donacija, vlastitih prihoda i drugih prihoda.</w:t>
      </w:r>
    </w:p>
    <w:p>
      <w:pPr>
        <w:jc w:val="left"/>
        <w:pStyle w:val="Heading8"/>
      </w:pPr>
      <w:r>
        <w:rPr>
          <w:rFonts w:hAnsi="Times New Roman" w:cs="Times New Roman"/>
        </w:rPr>
        <w:t xml:space="preserve">Pokazatelji učinka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2551.5" w:type="dxa"/>
            <w:vAlign w:val="center"/>
            <w:shd w:val="clear" w:color="auto" w:fill="b5c0d8"/>
          </w:tcPr>
          <w:p>
            <w:pPr>
              <w:jc w:val="center"/>
            </w:pPr>
            <w:r>
              <w:rPr>
                <w:rFonts w:hAnsi="Times New Roman" w:cs="Times New Roman"/>
              </w:rPr>
              <w:t xml:space="preserve">Pokazatelj učinka</w:t>
            </w:r>
          </w:p>
        </w:tc>
        <w:tc>
          <w:tcPr>
            <w:tcW w:w="2551.5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Definicija</w:t>
            </w:r>
          </w:p>
        </w:tc>
        <w:tc>
          <w:tcPr>
            <w:tcW w:w="1020.6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Jedinica</w:t>
            </w:r>
          </w:p>
        </w:tc>
        <w:tc>
          <w:tcPr>
            <w:tcW w:w="1020.6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Polazna vrijednost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Izvor podataka</w:t>
            </w:r>
          </w:p>
        </w:tc>
        <w:tc>
          <w:tcPr>
            <w:tcW w:w="1020.6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Ciljana vrijednost (2025.)</w:t>
            </w:r>
          </w:p>
        </w:tc>
        <w:tc>
          <w:tcPr>
            <w:tcW w:w="1020.6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Ostvarena vrijednost (2025.)</w:t>
            </w:r>
          </w:p>
        </w:tc>
      </w:tr>
      <w:tr>
        <w:trPr>
          <w:cantSplit/>
        </w:trPr>
        <w:tc>
          <w:tcPr>
            <w:tcW w:w="2551.5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2551.5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020.6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020.6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020.6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020.6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020.6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</w:tr>
      <w:tr>
        <w:trPr>
          <w:cantSplit/>
        </w:trPr>
        <w:tc>
          <w:tcPr>
            <w:tcW w:w="2551.5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2551.5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020.6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020.6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020.6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020.6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020.6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left"/>
        <w:pStyle w:val="Heading4"/>
      </w:pPr>
      <w:r>
        <w:rPr>
          <w:rFonts w:hAnsi="Times New Roman" w:cs="Times New Roman"/>
        </w:rPr>
        <w:t xml:space="preserve">A935001 ADMINISTRACIJA I UPRAVLJANJE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632.96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Naziv aktivnosti</w:t>
            </w:r>
          </w:p>
        </w:tc>
        <w:tc>
          <w:tcPr>
            <w:tcW w:w="2041.2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2041.2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2041.2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Izvršenje 2025. (eur)</w:t>
            </w:r>
          </w:p>
        </w:tc>
        <w:tc>
          <w:tcPr>
            <w:tcW w:w="1224.72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Indeks izvršenje 2025./plan 2025.</w:t>
            </w:r>
          </w:p>
        </w:tc>
        <w:tc>
          <w:tcPr>
            <w:tcW w:w="1224.72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Indeks izvršenje 2025./2024.</w:t>
            </w:r>
          </w:p>
        </w:tc>
      </w:tr>
      <w:tr>
        <w:trPr>
          <w:cantSplit/>
        </w:trPr>
        <w:tc>
          <w:tcPr>
            <w:tcW w:w="1632.96" w:type="dxa"/>
            <w:vAlign w:val="center"/>
          </w:tcPr>
          <w:p>
            <w:pPr>
              <w:jc w:val="left"/>
              <w:pStyle w:val="CellColumn"/>
            </w:pPr>
            <w:r>
              <w:rPr>
                <w:rFonts w:hAnsi="Times New Roman" w:cs="Times New Roman"/>
              </w:rPr>
              <w:t xml:space="preserve">A935001-ADMINISTRACIJA I UPRAVLJANJE</w:t>
            </w:r>
          </w:p>
        </w:tc>
        <w:tc>
          <w:tcPr>
            <w:tcW w:w="2041.2" w:type="dxa"/>
            <w:vAlign w:val="center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1.123.136</w:t>
            </w:r>
          </w:p>
        </w:tc>
        <w:tc>
          <w:tcPr>
            <w:tcW w:w="2041.2" w:type="dxa"/>
            <w:vAlign w:val="center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1.706.054</w:t>
            </w:r>
          </w:p>
        </w:tc>
        <w:tc>
          <w:tcPr>
            <w:tcW w:w="2041.2" w:type="dxa"/>
            <w:vAlign w:val="center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1.375.879</w:t>
            </w:r>
          </w:p>
        </w:tc>
        <w:tc>
          <w:tcPr>
            <w:tcW w:w="1224.72" w:type="dxa"/>
            <w:vAlign w:val="center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80,6</w:t>
            </w:r>
          </w:p>
        </w:tc>
        <w:tc>
          <w:tcPr>
            <w:tcW w:w="1224.72" w:type="dxa"/>
            <w:vAlign w:val="center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122,5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left"/>
        <w:pStyle w:val="Heading8"/>
      </w:pPr>
      <w:r>
        <w:rPr>
          <w:rFonts w:hAnsi="Times New Roman" w:cs="Times New Roman"/>
        </w:rPr>
        <w:t xml:space="preserve">Zakonske i druge pravne osnove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Zakon o vatrogastvu, čl. 10, Uredba o osnivanju Državne vatrogasne škole</w:t>
      </w:r>
    </w:p>
    <w:p>
      <w:pPr>
        <w:jc w:val="left"/>
        <w:pStyle w:val="Heading8"/>
      </w:pPr>
      <w:r>
        <w:rPr>
          <w:rFonts w:hAnsi="Times New Roman" w:cs="Times New Roman"/>
        </w:rPr>
        <w:t xml:space="preserve">Opis aktivnosti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Administracija i upravljanje predstavlja jedinu aktivnost putem koje se odvijaju sve funkcije Državne vatrogasne škole te se kroz nju osigurava kontinuirano i nesmetano poslovanje ustanove.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Sredstva planirana u okviru ove aktivnosti utrošena su prvenstveno na rashode za zaposlene, uključujući plaće, doprinose te ostala materijalna prava službenika. Uz to, financirani su i materijalni rashodi nužni za redovito funkcioniranje ustanove, kao što su troškovi uredskog materijala, telekomunikacijskih usluga, održavanja objekata i opreme te različite usluge potrebne za operativno poslovanje, uključujući računovodstvene, informatičke i druge stručne usluge.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Izvršenje aktivnosti odvijalo se u skladu s planiranim sredstvima te uz načelo racionalnog i namjenskog korištenja proračunskih sredstava. Svi realizirani rashodi usmjereni su na osiguravanje stabilnog rada Škole te pružanje administrativne i logističke potpore provedbi obrazovnih i stručnih programa.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Ukupni rashodi proračuna (skupine 3 i 4) ostvareni su u iznosu od 1.375.878,74 eura, što predstavlja 80,65 % godišnjeg plana za 2025. godinu. U odnosu na prethodno izvještajno razdoblje, evidentiran je značajniji porast rashoda, koji je posljedica povećanih aktivnosti Škole, ulaganja u opremu i infrastrukturu te širenja obujma obrazovnih programa.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Struktura rashoda pokazuje da se najveći dio odnosi na rashode za zaposlene za 21 službenika (53 %), zatim na materijalne rashode i režijske troškove (42 %), dok se preostalih 5 % odnosi na rashode za nabavu nefinancijske imovine. Ova struktura odražava prioritetno usmjerenje na osiguravanje stabilnog rada, redovito odvijanje nastave te postupno unaprjeđenje materijalnih i tehničkih uvjeta poslovanja.</w:t>
      </w:r>
    </w:p>
    <w:p>
      <w:pPr>
        <w:jc w:val="left"/>
        <w:pStyle w:val="Heading8"/>
      </w:pPr>
      <w:r>
        <w:rPr>
          <w:rFonts w:hAnsi="Times New Roman" w:cs="Times New Roman"/>
        </w:rPr>
        <w:t xml:space="preserve">Pokazatelji rezultata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2551.5" w:type="dxa"/>
            <w:vAlign w:val="center"/>
            <w:shd w:val="clear" w:color="auto" w:fill="b5c0d8"/>
          </w:tcPr>
          <w:p>
            <w:pPr>
              <w:jc w:val="center"/>
            </w:pPr>
            <w:r>
              <w:rPr>
                <w:rFonts w:hAnsi="Times New Roman" w:cs="Times New Roman"/>
              </w:rPr>
              <w:t xml:space="preserve">Pokazatelj rezultata</w:t>
            </w:r>
          </w:p>
        </w:tc>
        <w:tc>
          <w:tcPr>
            <w:tcW w:w="2551.5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Definicija</w:t>
            </w:r>
          </w:p>
        </w:tc>
        <w:tc>
          <w:tcPr>
            <w:tcW w:w="1020.6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Jedinica</w:t>
            </w:r>
          </w:p>
        </w:tc>
        <w:tc>
          <w:tcPr>
            <w:tcW w:w="1020.6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Polazna vrijednost</w:t>
            </w:r>
          </w:p>
        </w:tc>
        <w:tc>
          <w:tcPr>
            <w:tcW w:w="1020.6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Izvor podataka</w:t>
            </w:r>
          </w:p>
        </w:tc>
        <w:tc>
          <w:tcPr>
            <w:tcW w:w="1020.6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Ciljana vrijednost (2025.)</w:t>
            </w:r>
          </w:p>
        </w:tc>
        <w:tc>
          <w:tcPr>
            <w:tcW w:w="1020.6" w:type="dxa"/>
            <w:vAlign w:val="center"/>
            <w:shd w:val="clear" w:color="auto" w:fill="b5c0d8"/>
          </w:tcPr>
          <w:p>
            <w:pPr>
              <w:jc w:val="center"/>
              <w:pStyle w:val="CellHeader"/>
            </w:pPr>
            <w:r>
              <w:rPr>
                <w:rFonts w:hAnsi="Times New Roman" w:cs="Times New Roman"/>
              </w:rPr>
              <w:t xml:space="preserve">Ostvarena vrijednost (2025.)</w:t>
            </w:r>
          </w:p>
        </w:tc>
      </w:tr>
      <w:tr>
        <w:trPr>
          <w:cantSplit/>
        </w:trPr>
        <w:tc>
          <w:tcPr>
            <w:tcW w:w="2551.5" w:type="dxa"/>
            <w:vAlign w:val="center"/>
          </w:tcPr>
          <w:p>
            <w:pPr>
              <w:jc w:val="left"/>
              <w:pStyle w:val="CellColumn"/>
            </w:pPr>
            <w:r>
              <w:rPr>
                <w:rFonts w:hAnsi="Times New Roman" w:cs="Times New Roman"/>
              </w:rPr>
              <w:t xml:space="preserve">Broj polaznika Državne vatrogasne škole – formalno obrazovanje</w:t>
            </w:r>
          </w:p>
        </w:tc>
        <w:tc>
          <w:tcPr>
            <w:tcW w:w="2551.5" w:type="dxa"/>
            <w:vAlign w:val="center"/>
          </w:tcPr>
          <w:p>
            <w:pPr>
              <w:jc w:val="left"/>
              <w:pStyle w:val="CellColumn"/>
            </w:pPr>
            <w:r>
              <w:rPr>
                <w:rFonts w:hAnsi="Times New Roman" w:cs="Times New Roman"/>
              </w:rPr>
              <w:t xml:space="preserve">Broj polaznika Državne vatrogasne škole koju su završili nastavu za smjerove vatrogasac i vatrogasnih tehničar, uključujući sjedište u Zagrebu i 3 odjela - Osijek, Rijeka i Split</w:t>
            </w:r>
          </w:p>
        </w:tc>
        <w:tc>
          <w:tcPr>
            <w:tcW w:w="1020.6" w:type="dxa"/>
            <w:vAlign w:val="center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Broj</w:t>
            </w:r>
          </w:p>
        </w:tc>
        <w:tc>
          <w:tcPr>
            <w:tcW w:w="1020.6" w:type="dxa"/>
            <w:vAlign w:val="center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300</w:t>
            </w:r>
          </w:p>
        </w:tc>
        <w:tc>
          <w:tcPr>
            <w:tcW w:w="1020.6" w:type="dxa"/>
            <w:vAlign w:val="center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Matična knjiga DVŠ za formalno obrazovanje</w:t>
            </w:r>
          </w:p>
        </w:tc>
        <w:tc>
          <w:tcPr>
            <w:tcW w:w="1020.6" w:type="dxa"/>
            <w:vAlign w:val="center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307</w:t>
            </w:r>
          </w:p>
        </w:tc>
        <w:tc>
          <w:tcPr>
            <w:tcW w:w="1020.6" w:type="dxa"/>
            <w:vAlign w:val="center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290</w:t>
            </w:r>
          </w:p>
        </w:tc>
      </w:tr>
      <w:tr>
        <w:trPr>
          <w:cantSplit/>
        </w:trPr>
        <w:tc>
          <w:tcPr>
            <w:tcW w:w="2551.5" w:type="dxa"/>
            <w:vAlign w:val="center"/>
          </w:tcPr>
          <w:p>
            <w:pPr>
              <w:jc w:val="left"/>
              <w:pStyle w:val="CellColumn"/>
            </w:pPr>
            <w:r>
              <w:rPr>
                <w:rFonts w:hAnsi="Times New Roman" w:cs="Times New Roman"/>
              </w:rPr>
              <w:t xml:space="preserve">Broj polaznika DVŠ - neformalno obrazovanje</w:t>
            </w:r>
          </w:p>
        </w:tc>
        <w:tc>
          <w:tcPr>
            <w:tcW w:w="2551.5" w:type="dxa"/>
            <w:vAlign w:val="center"/>
          </w:tcPr>
          <w:p>
            <w:pPr>
              <w:jc w:val="left"/>
              <w:pStyle w:val="CellColumn"/>
            </w:pPr>
            <w:r>
              <w:rPr>
                <w:rFonts w:hAnsi="Times New Roman" w:cs="Times New Roman"/>
              </w:rPr>
              <w:t xml:space="preserve">Broj polaznika DVŠ koji su položili neku od specijalnosti</w:t>
            </w:r>
          </w:p>
        </w:tc>
        <w:tc>
          <w:tcPr>
            <w:tcW w:w="1020.6" w:type="dxa"/>
            <w:vAlign w:val="center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Broj</w:t>
            </w:r>
          </w:p>
        </w:tc>
        <w:tc>
          <w:tcPr>
            <w:tcW w:w="1020.6" w:type="dxa"/>
            <w:vAlign w:val="center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600</w:t>
            </w:r>
          </w:p>
        </w:tc>
        <w:tc>
          <w:tcPr>
            <w:tcW w:w="1020.6" w:type="dxa"/>
            <w:vAlign w:val="center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Matična knjiga DVŠ za neformalno obrazovanje</w:t>
            </w:r>
          </w:p>
        </w:tc>
        <w:tc>
          <w:tcPr>
            <w:tcW w:w="1020.6" w:type="dxa"/>
            <w:vAlign w:val="center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650</w:t>
            </w:r>
          </w:p>
        </w:tc>
        <w:tc>
          <w:tcPr>
            <w:tcW w:w="1020.6" w:type="dxa"/>
            <w:vAlign w:val="center"/>
          </w:tcPr>
          <w:p>
            <w:pPr>
              <w:jc w:val="right"/>
              <w:pStyle w:val="CellColumn"/>
            </w:pPr>
            <w:r>
              <w:rPr>
                <w:rFonts w:hAnsi="Times New Roman" w:cs="Times New Roman"/>
              </w:rPr>
              <w:t xml:space="preserve">694</w:t>
            </w:r>
          </w:p>
        </w:tc>
      </w:tr>
      <w:tr>
        <w:trPr>
          <w:cantSplit/>
        </w:trPr>
        <w:tc>
          <w:tcPr>
            <w:tcW w:w="2551.5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2551.5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020.6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020.6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020.6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020.6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020.6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</w:tr>
      <w:tr>
        <w:trPr>
          <w:cantSplit/>
        </w:trPr>
        <w:tc>
          <w:tcPr>
            <w:tcW w:w="2551.5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2551.5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020.6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020.6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020.6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020.6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020.6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FE4B89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FE4B89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Anita Marasović</cp:lastModifiedBy>
  <cp:revision>14</cp:revision>
  <dcterms:created xsi:type="dcterms:W3CDTF">2016-10-28T08:23:00Z</dcterms:created>
  <dcterms:modified xsi:type="dcterms:W3CDTF">2016-11-09T08:08:00Z</dcterms:modified>
</cp:coreProperties>
</file>